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val="clear" w:color="auto" w:fill="E3EFFB"/>
          </w:tcPr>
          <w:p>
            <w:r>
              <w:rPr>
                <w:b/>
                <w:color w:val="0C1220"/>
                <w:sz w:val="32"/>
              </w:rPr>
              <w:t>Grand</w:t>
            </w:r>
            <w:r>
              <w:rPr>
                <w:b/>
                <w:color w:val="1FA9FF"/>
                <w:sz w:val="32"/>
              </w:rPr>
              <w:t>L</w:t>
            </w:r>
            <w:r>
              <w:rPr>
                <w:b/>
                <w:color w:val="0C1220"/>
                <w:sz w:val="32"/>
              </w:rPr>
              <w:t xml:space="preserve">ine  </w:t>
            </w:r>
            <w:r>
              <w:rPr>
                <w:color w:val="6A7489"/>
                <w:sz w:val="20"/>
              </w:rPr>
              <w:t>Architecture Intelligence</w:t>
            </w:r>
          </w:p>
        </w:tc>
      </w:tr>
    </w:tbl>
    <w:p>
      <w:r>
        <w:rPr>
          <w:b/>
          <w:color w:val="1FA9FF"/>
          <w:sz w:val="17"/>
        </w:rPr>
        <w:t>MONTHLY EXECUTIVE SUMMARY · TENANT: ACME · GLOBAL SCOPE</w:t>
      </w:r>
    </w:p>
    <w:p>
      <w:r>
        <w:rPr>
          <w:b/>
          <w:color w:val="0C1220"/>
          <w:sz w:val="44"/>
        </w:rPr>
        <w:t>ACME multi-cloud posture — March 2026</w:t>
      </w:r>
    </w:p>
    <w:p>
      <w:r>
        <w:rPr>
          <w:color w:val="505668"/>
          <w:sz w:val="19"/>
        </w:rPr>
        <w:t>Prepared 2026-04-01 06:00 UTC · scope: AWS + Azure + GCP · 6 AWS accounts, 4 Azure subscriptions, 5 GCP projects</w:t>
      </w:r>
    </w:p>
    <w:p>
      <w:r>
        <w:rPr>
          <w:b/>
          <w:color w:val="111318"/>
          <w:sz w:val="26"/>
        </w:rPr>
        <w:t>Snapshot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rPr>
                <w:b/>
                <w:color w:val="767B8C"/>
                <w:sz w:val="16"/>
              </w:rPr>
              <w:t>RESOURCES</w:t>
            </w:r>
          </w:p>
        </w:tc>
        <w:tc>
          <w:tcPr>
            <w:tcW w:type="dxa" w:w="2160"/>
          </w:tcPr>
          <w:p>
            <w:r>
              <w:rPr>
                <w:b/>
                <w:color w:val="767B8C"/>
                <w:sz w:val="16"/>
              </w:rPr>
              <w:t>MONTHLY SPEND</w:t>
            </w:r>
          </w:p>
        </w:tc>
        <w:tc>
          <w:tcPr>
            <w:tcW w:type="dxa" w:w="2160"/>
          </w:tcPr>
          <w:p>
            <w:r>
              <w:rPr>
                <w:b/>
                <w:color w:val="767B8C"/>
                <w:sz w:val="16"/>
              </w:rPr>
              <w:t>OPEN FINDINGS</w:t>
            </w:r>
          </w:p>
        </w:tc>
        <w:tc>
          <w:tcPr>
            <w:tcW w:type="dxa" w:w="2160"/>
          </w:tcPr>
          <w:p>
            <w:r>
              <w:rPr>
                <w:b/>
                <w:color w:val="767B8C"/>
                <w:sz w:val="16"/>
              </w:rPr>
              <w:t>SAVINGS FOUND</w:t>
            </w:r>
          </w:p>
        </w:tc>
      </w:tr>
      <w:tr>
        <w:tc>
          <w:tcPr>
            <w:tcW w:type="dxa" w:w="2160"/>
          </w:tcPr>
          <w:p>
            <w:r>
              <w:rPr>
                <w:b/>
                <w:sz w:val="30"/>
              </w:rPr>
              <w:t>1,842</w:t>
            </w:r>
          </w:p>
          <w:p>
            <w:r>
              <w:rPr>
                <w:color w:val="2E9178"/>
                <w:sz w:val="16"/>
              </w:rPr>
              <w:t xml:space="preserve">  +38</w:t>
            </w:r>
          </w:p>
        </w:tc>
        <w:tc>
          <w:tcPr>
            <w:tcW w:type="dxa" w:w="2160"/>
          </w:tcPr>
          <w:p>
            <w:r>
              <w:rPr>
                <w:b/>
                <w:sz w:val="30"/>
              </w:rPr>
              <w:t>$81,414</w:t>
            </w:r>
          </w:p>
          <w:p>
            <w:r>
              <w:rPr>
                <w:color w:val="2E9178"/>
                <w:sz w:val="16"/>
              </w:rPr>
              <w:t xml:space="preserve">  +2.1%</w:t>
            </w:r>
          </w:p>
        </w:tc>
        <w:tc>
          <w:tcPr>
            <w:tcW w:type="dxa" w:w="2160"/>
          </w:tcPr>
          <w:p>
            <w:r>
              <w:rPr>
                <w:b/>
                <w:sz w:val="30"/>
              </w:rPr>
              <w:t>37</w:t>
            </w:r>
          </w:p>
          <w:p>
            <w:r>
              <w:rPr>
                <w:color w:val="2E9178"/>
                <w:sz w:val="16"/>
              </w:rPr>
              <w:t xml:space="preserve">  -4</w:t>
            </w:r>
          </w:p>
        </w:tc>
        <w:tc>
          <w:tcPr>
            <w:tcW w:type="dxa" w:w="2160"/>
          </w:tcPr>
          <w:p>
            <w:r>
              <w:rPr>
                <w:b/>
                <w:sz w:val="30"/>
              </w:rPr>
              <w:t>$11,280</w:t>
            </w:r>
          </w:p>
          <w:p>
            <w:r>
              <w:rPr>
                <w:color w:val="2E9178"/>
                <w:sz w:val="16"/>
              </w:rPr>
              <w:t xml:space="preserve">  +$1,820</w:t>
            </w:r>
          </w:p>
        </w:tc>
      </w:tr>
    </w:tbl>
    <w:p>
      <w:r>
        <w:rPr>
          <w:b/>
          <w:color w:val="111318"/>
          <w:sz w:val="26"/>
        </w:rPr>
        <w:t>Executive summary</w:t>
      </w:r>
    </w:p>
    <w:p>
      <w:pPr>
        <w:spacing w:after="120"/>
      </w:pPr>
      <w:r>
        <w:t>Your estate grew by 38 resources this month, driven by a new autoscaling group in prod-us-east-1 backing the payments launch. Monthly spend rose 2.1% to $81,414, in line with the growth. Open security findings fell by 4, including one critical (rotated IAM root access key on legacy-ops). One cost anomaly — BigQuery scan spend on April 14 — was actioned within SLA. Rightsizing + idle opportunities totalling $11,280/month remain open; the top three are called out below.</w:t>
      </w:r>
    </w:p>
    <w:p>
      <w:r>
        <w:rPr>
          <w:b/>
          <w:color w:val="111318"/>
          <w:sz w:val="26"/>
        </w:rPr>
        <w:t>Architecture changes</w:t>
      </w:r>
    </w:p>
    <w:p>
      <w:pPr>
        <w:spacing w:after="120"/>
      </w:pPr>
      <w:r>
        <w:t>12 resources added, 4 removed. Full diff in appendix A. The architecture diagram, refreshed on every scan, is attached at 300 DPI. Notable: a new VPC peering in acct 4411 between prod-us-east-1 and stage-us-east-1 — confirm this is intentional.</w:t>
      </w:r>
    </w:p>
    <w:p>
      <w:r>
        <w:rPr>
          <w:b/>
          <w:color w:val="111318"/>
          <w:sz w:val="26"/>
        </w:rPr>
        <w:t>Security posture</w:t>
      </w:r>
    </w:p>
    <w:tbl>
      <w:tblPr>
        <w:tblStyle w:val="LightList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  <w:color w:val="767B8C"/>
              </w:rPr>
              <w:t>Severity</w:t>
            </w:r>
          </w:p>
        </w:tc>
        <w:tc>
          <w:tcPr>
            <w:tcW w:type="dxa" w:w="2880"/>
          </w:tcPr>
          <w:p>
            <w:r>
              <w:rPr>
                <w:b/>
                <w:color w:val="767B8C"/>
              </w:rPr>
              <w:t>Open</w:t>
            </w:r>
          </w:p>
        </w:tc>
        <w:tc>
          <w:tcPr>
            <w:tcW w:type="dxa" w:w="2880"/>
          </w:tcPr>
          <w:p>
            <w:r>
              <w:rPr>
                <w:b/>
                <w:color w:val="767B8C"/>
              </w:rPr>
              <w:t>Notable</w:t>
            </w:r>
          </w:p>
        </w:tc>
      </w:tr>
      <w:tr>
        <w:tc>
          <w:tcPr>
            <w:tcW w:type="dxa" w:w="2880"/>
          </w:tcPr>
          <w:p>
            <w:r>
              <w:t>Critical</w:t>
            </w:r>
          </w:p>
        </w:tc>
        <w:tc>
          <w:tcPr>
            <w:tcW w:type="dxa" w:w="2880"/>
          </w:tcPr>
          <w:p>
            <w:r>
              <w:t>3</w:t>
            </w:r>
          </w:p>
        </w:tc>
        <w:tc>
          <w:tcPr>
            <w:tcW w:type="dxa" w:w="2880"/>
          </w:tcPr>
          <w:p>
            <w:r>
              <w:t>S3 bucket 'bronze' allows public READ on /static/ (new)</w:t>
            </w:r>
          </w:p>
        </w:tc>
      </w:tr>
      <w:tr>
        <w:tc>
          <w:tcPr>
            <w:tcW w:type="dxa" w:w="2880"/>
          </w:tcPr>
          <w:p>
            <w:r>
              <w:t>High</w:t>
            </w:r>
          </w:p>
        </w:tc>
        <w:tc>
          <w:tcPr>
            <w:tcW w:type="dxa" w:w="2880"/>
          </w:tcPr>
          <w:p>
            <w:r>
              <w:t>9</w:t>
            </w:r>
          </w:p>
        </w:tc>
        <w:tc>
          <w:tcPr>
            <w:tcW w:type="dxa" w:w="2880"/>
          </w:tcPr>
          <w:p>
            <w:r>
              <w:t>stage Aurora accepts 0.0.0.0/0 on 5432 (carried over)</w:t>
            </w:r>
          </w:p>
        </w:tc>
      </w:tr>
      <w:tr>
        <w:tc>
          <w:tcPr>
            <w:tcW w:type="dxa" w:w="2880"/>
          </w:tcPr>
          <w:p>
            <w:r>
              <w:t>Medium</w:t>
            </w:r>
          </w:p>
        </w:tc>
        <w:tc>
          <w:tcPr>
            <w:tcW w:type="dxa" w:w="2880"/>
          </w:tcPr>
          <w:p>
            <w:r>
              <w:t>14</w:t>
            </w:r>
          </w:p>
        </w:tc>
        <w:tc>
          <w:tcPr>
            <w:tcW w:type="dxa" w:w="2880"/>
          </w:tcPr>
          <w:p>
            <w:r>
              <w:t>RDS Performance Insights off on 2 clusters</w:t>
            </w:r>
          </w:p>
        </w:tc>
      </w:tr>
      <w:tr>
        <w:tc>
          <w:tcPr>
            <w:tcW w:type="dxa" w:w="2880"/>
          </w:tcPr>
          <w:p>
            <w:r>
              <w:t>Low</w:t>
            </w:r>
          </w:p>
        </w:tc>
        <w:tc>
          <w:tcPr>
            <w:tcW w:type="dxa" w:w="2880"/>
          </w:tcPr>
          <w:p>
            <w:r>
              <w:t>11</w:t>
            </w:r>
          </w:p>
        </w:tc>
        <w:tc>
          <w:tcPr>
            <w:tcW w:type="dxa" w:w="2880"/>
          </w:tcPr>
          <w:p>
            <w:r>
              <w:t>mostly missing tags and non-blocking IAM drift</w:t>
            </w:r>
          </w:p>
        </w:tc>
      </w:tr>
    </w:tbl>
    <w:p>
      <w:r>
        <w:rPr>
          <w:b/>
          <w:color w:val="111318"/>
          <w:sz w:val="26"/>
        </w:rPr>
        <w:t>Cost story</w:t>
      </w:r>
    </w:p>
    <w:p>
      <w:pPr>
        <w:spacing w:after="120"/>
      </w:pPr>
      <w:r>
        <w:t>Rightsizing opportunities worth $3,890 / month. Idle candidates worth $6,240 / month. Commitment coverage at 71% on AWS — 4% under target.</w:t>
      </w:r>
    </w:p>
    <w:p>
      <w:pPr>
        <w:pStyle w:val="ListBullet"/>
      </w:pPr>
      <w:r>
        <w:t>Downsize 7 EKS nodes in prod-eks-web from m6i.2xlarge to m6i.xlarge — $1,820/mo.</w:t>
      </w:r>
    </w:p>
    <w:p>
      <w:pPr>
        <w:pStyle w:val="ListBullet"/>
      </w:pPr>
      <w:r>
        <w:t>Stop or snapshot 14 idle GCS buckets in data-prod unread for 90+ days — $640/mo.</w:t>
      </w:r>
    </w:p>
    <w:p>
      <w:pPr>
        <w:pStyle w:val="ListBullet"/>
      </w:pPr>
      <w:r>
        <w:t>Expand 1-year CUD coverage on gke-api — $410/mo.</w:t>
      </w:r>
    </w:p>
    <w:p>
      <w:r>
        <w:rPr>
          <w:b/>
          <w:color w:val="111318"/>
          <w:sz w:val="26"/>
        </w:rPr>
        <w:t>Anomalies</w:t>
      </w:r>
    </w:p>
    <w:p>
      <w:pPr>
        <w:spacing w:after="120"/>
      </w:pPr>
      <w:r>
        <w:t>BigQuery data-prod.analytics scanned 7.2 TB more than the 14-day baseline on April 14 (2.4σ). Driver: a scheduled query missed its partition filter. Remediated by data-eng the same day; added a GrandLine check to flag this pattern in future.</w:t>
      </w:r>
    </w:p>
    <w:p/>
    <w:p>
      <w:r>
        <w:rPr>
          <w:color w:val="767B8C"/>
          <w:sz w:val="17"/>
        </w:rPr>
        <w:t>Confidential. Do not redistribute outside ACME. Source data: GrandLine scan scan_2026-04-01T06:00:00Z. Generated by GrandLine v1.12.0 at tenant acme.grandline.com. For questions email rr@grandline.com.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